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AB8C" w14:textId="77777777" w:rsidR="00943108" w:rsidRPr="00816958" w:rsidRDefault="00C72673">
      <w:pPr>
        <w:shd w:val="clear" w:color="auto" w:fill="FFFFFF"/>
        <w:spacing w:line="288" w:lineRule="auto"/>
        <w:jc w:val="both"/>
        <w:rPr>
          <w:highlight w:val="white"/>
        </w:rPr>
      </w:pPr>
      <w:r>
        <w:rPr>
          <w:sz w:val="18"/>
          <w:szCs w:val="18"/>
          <w:highlight w:val="white"/>
        </w:rPr>
        <w:t> </w:t>
      </w:r>
    </w:p>
    <w:p w14:paraId="2B1BE39C" w14:textId="77777777" w:rsidR="00D72EB6" w:rsidRPr="00D72EB6" w:rsidRDefault="00D72EB6" w:rsidP="00D72EB6">
      <w:pPr>
        <w:pStyle w:val="zw-paragraph"/>
        <w:spacing w:before="0" w:beforeAutospacing="0" w:after="0" w:afterAutospacing="0"/>
        <w:jc w:val="center"/>
        <w:rPr>
          <w:rFonts w:ascii="Arial" w:hAnsi="Arial" w:cs="Arial"/>
        </w:rPr>
      </w:pPr>
      <w:r w:rsidRPr="00D72EB6">
        <w:rPr>
          <w:rFonts w:ascii="Arial" w:hAnsi="Arial" w:cs="Arial"/>
          <w:b/>
          <w:bCs/>
          <w:color w:val="000000"/>
          <w:sz w:val="32"/>
          <w:szCs w:val="32"/>
        </w:rPr>
        <w:t xml:space="preserve">La analítica contextual, la malla de ciberseguridad y la gestión de servicios sin contacto dominarán las TI en 2022 </w:t>
      </w:r>
    </w:p>
    <w:p w14:paraId="67F7B3AF" w14:textId="77777777" w:rsidR="00D72EB6" w:rsidRPr="00D72EB6" w:rsidRDefault="00D72EB6" w:rsidP="00D72EB6">
      <w:pPr>
        <w:pStyle w:val="zw-paragraph"/>
        <w:spacing w:before="0" w:beforeAutospacing="0" w:after="0" w:afterAutospacing="0"/>
        <w:jc w:val="both"/>
        <w:rPr>
          <w:rFonts w:ascii="Arial" w:hAnsi="Arial" w:cs="Arial"/>
        </w:rPr>
      </w:pPr>
      <w:r w:rsidRPr="00D72EB6">
        <w:rPr>
          <w:rStyle w:val="eop"/>
          <w:rFonts w:ascii="Arial" w:hAnsi="Arial" w:cs="Arial"/>
        </w:rPr>
        <w:t> </w:t>
      </w:r>
    </w:p>
    <w:p w14:paraId="24B51C83" w14:textId="77777777" w:rsidR="00D72EB6" w:rsidRPr="00D72EB6" w:rsidRDefault="00D72EB6" w:rsidP="00D72EB6">
      <w:pPr>
        <w:pStyle w:val="zw-paragraph"/>
        <w:spacing w:before="0" w:beforeAutospacing="0" w:after="0" w:afterAutospacing="0"/>
        <w:jc w:val="both"/>
        <w:rPr>
          <w:rFonts w:ascii="Arial" w:hAnsi="Arial" w:cs="Arial"/>
        </w:rPr>
      </w:pPr>
      <w:r w:rsidRPr="00D72EB6">
        <w:rPr>
          <w:rFonts w:ascii="Arial" w:hAnsi="Arial" w:cs="Arial"/>
          <w:color w:val="000000"/>
          <w:sz w:val="22"/>
          <w:szCs w:val="22"/>
        </w:rPr>
        <w:t xml:space="preserve">El papel de las tecnologías de la información ha crecido considerablemente en los dos últimos años, y las organizaciones se han visto obligadas a replantearse y renovar su forma de trabajar. En el futuro, se pondrá un énfasis renovado en el aprovechamiento de los avances tecnológicos para hacer frente a los retos empresariales que plantean las fuerzas de trabajo remotas. </w:t>
      </w:r>
    </w:p>
    <w:p w14:paraId="5313A28F" w14:textId="77777777" w:rsidR="00D72EB6" w:rsidRPr="00D72EB6" w:rsidRDefault="00D72EB6" w:rsidP="00D72EB6">
      <w:pPr>
        <w:pStyle w:val="zw-paragraph"/>
        <w:spacing w:before="0" w:beforeAutospacing="0" w:after="0" w:afterAutospacing="0"/>
        <w:jc w:val="both"/>
        <w:rPr>
          <w:rFonts w:ascii="Arial" w:hAnsi="Arial" w:cs="Arial"/>
        </w:rPr>
      </w:pPr>
      <w:r w:rsidRPr="00D72EB6">
        <w:rPr>
          <w:rStyle w:val="eop"/>
          <w:rFonts w:ascii="Arial" w:hAnsi="Arial" w:cs="Arial"/>
        </w:rPr>
        <w:t> </w:t>
      </w:r>
    </w:p>
    <w:p w14:paraId="3350210A" w14:textId="77777777" w:rsidR="00D72EB6" w:rsidRPr="00D72EB6" w:rsidRDefault="00D72EB6" w:rsidP="00D72EB6">
      <w:pPr>
        <w:pStyle w:val="zw-paragraph"/>
        <w:spacing w:before="0" w:beforeAutospacing="0" w:after="0" w:afterAutospacing="0"/>
        <w:jc w:val="both"/>
        <w:rPr>
          <w:rFonts w:ascii="Arial" w:hAnsi="Arial" w:cs="Arial"/>
        </w:rPr>
      </w:pPr>
      <w:r w:rsidRPr="00D72EB6">
        <w:rPr>
          <w:rFonts w:ascii="Arial" w:hAnsi="Arial" w:cs="Arial"/>
          <w:color w:val="000000"/>
          <w:sz w:val="22"/>
          <w:szCs w:val="22"/>
        </w:rPr>
        <w:t xml:space="preserve">"Tras la pandemia, el trabajo híbrido será una expectativa, si no la norma, en la mayoría de las organizaciones de todo el mundo. Eso significa que la ciberseguridad, la IA, la automatización y el análisis jugarán un papel cada vez más importante en los esfuerzos de las organizaciones para apoyar esta manera de trabajo", dijo </w:t>
      </w:r>
      <w:proofErr w:type="spellStart"/>
      <w:r w:rsidRPr="00D72EB6">
        <w:rPr>
          <w:rFonts w:ascii="Arial" w:hAnsi="Arial" w:cs="Arial"/>
          <w:color w:val="000000"/>
          <w:sz w:val="22"/>
          <w:szCs w:val="22"/>
        </w:rPr>
        <w:t>Rajesh</w:t>
      </w:r>
      <w:proofErr w:type="spellEnd"/>
      <w:r w:rsidRPr="00D72EB6">
        <w:rPr>
          <w:rFonts w:ascii="Arial" w:hAnsi="Arial" w:cs="Arial"/>
          <w:color w:val="000000"/>
          <w:sz w:val="22"/>
          <w:szCs w:val="22"/>
        </w:rPr>
        <w:t xml:space="preserve"> </w:t>
      </w:r>
      <w:proofErr w:type="spellStart"/>
      <w:r w:rsidRPr="00D72EB6">
        <w:rPr>
          <w:rFonts w:ascii="Arial" w:hAnsi="Arial" w:cs="Arial"/>
          <w:color w:val="000000"/>
          <w:sz w:val="22"/>
          <w:szCs w:val="22"/>
        </w:rPr>
        <w:t>Ganesan</w:t>
      </w:r>
      <w:proofErr w:type="spellEnd"/>
      <w:r w:rsidRPr="00D72EB6">
        <w:rPr>
          <w:rFonts w:ascii="Arial" w:hAnsi="Arial" w:cs="Arial"/>
          <w:color w:val="000000"/>
          <w:sz w:val="22"/>
          <w:szCs w:val="22"/>
        </w:rPr>
        <w:t xml:space="preserve">, vicepresidente de productos de </w:t>
      </w:r>
      <w:proofErr w:type="spellStart"/>
      <w:r w:rsidRPr="00D72EB6">
        <w:rPr>
          <w:rFonts w:ascii="Arial" w:hAnsi="Arial" w:cs="Arial"/>
          <w:color w:val="000000"/>
          <w:sz w:val="22"/>
          <w:szCs w:val="22"/>
        </w:rPr>
        <w:t>ManageEngine</w:t>
      </w:r>
      <w:proofErr w:type="spellEnd"/>
      <w:r w:rsidRPr="00D72EB6">
        <w:rPr>
          <w:rFonts w:ascii="Arial" w:hAnsi="Arial" w:cs="Arial"/>
          <w:color w:val="000000"/>
          <w:sz w:val="22"/>
          <w:szCs w:val="22"/>
        </w:rPr>
        <w:t>.</w:t>
      </w:r>
    </w:p>
    <w:p w14:paraId="2410555A" w14:textId="77777777" w:rsidR="00D72EB6" w:rsidRPr="00D72EB6" w:rsidRDefault="00D72EB6" w:rsidP="00D72EB6">
      <w:pPr>
        <w:pStyle w:val="zw-paragraph"/>
        <w:spacing w:before="0" w:beforeAutospacing="0" w:after="0" w:afterAutospacing="0"/>
        <w:jc w:val="both"/>
        <w:rPr>
          <w:rFonts w:ascii="Arial" w:hAnsi="Arial" w:cs="Arial"/>
        </w:rPr>
      </w:pPr>
      <w:r w:rsidRPr="00D72EB6">
        <w:rPr>
          <w:rStyle w:val="eop"/>
          <w:rFonts w:ascii="Arial" w:hAnsi="Arial" w:cs="Arial"/>
        </w:rPr>
        <w:t> </w:t>
      </w:r>
    </w:p>
    <w:p w14:paraId="21A71392" w14:textId="77777777" w:rsidR="00D72EB6" w:rsidRPr="00D72EB6" w:rsidRDefault="00D72EB6" w:rsidP="00D72EB6">
      <w:pPr>
        <w:pStyle w:val="zw-paragraph"/>
        <w:spacing w:before="0" w:beforeAutospacing="0" w:after="0" w:afterAutospacing="0"/>
        <w:jc w:val="both"/>
        <w:rPr>
          <w:rFonts w:ascii="Arial" w:hAnsi="Arial" w:cs="Arial"/>
        </w:rPr>
      </w:pPr>
      <w:r w:rsidRPr="00D72EB6">
        <w:rPr>
          <w:rFonts w:ascii="Arial" w:hAnsi="Arial" w:cs="Arial"/>
          <w:color w:val="000000"/>
          <w:sz w:val="22"/>
          <w:szCs w:val="22"/>
        </w:rPr>
        <w:t xml:space="preserve">Aquí están las cinco principales predicciones de </w:t>
      </w:r>
      <w:proofErr w:type="spellStart"/>
      <w:r w:rsidRPr="00D72EB6">
        <w:rPr>
          <w:rFonts w:ascii="Arial" w:hAnsi="Arial" w:cs="Arial"/>
          <w:color w:val="000000"/>
          <w:sz w:val="22"/>
          <w:szCs w:val="22"/>
        </w:rPr>
        <w:t>ManageEngine</w:t>
      </w:r>
      <w:proofErr w:type="spellEnd"/>
      <w:r w:rsidRPr="00D72EB6">
        <w:rPr>
          <w:rFonts w:ascii="Arial" w:hAnsi="Arial" w:cs="Arial"/>
          <w:color w:val="000000"/>
          <w:sz w:val="22"/>
          <w:szCs w:val="22"/>
        </w:rPr>
        <w:t xml:space="preserve"> en el espacio de gestión de TI para 2022. </w:t>
      </w:r>
    </w:p>
    <w:p w14:paraId="21A69285" w14:textId="77777777" w:rsidR="00D72EB6" w:rsidRPr="00D72EB6" w:rsidRDefault="00D72EB6" w:rsidP="00D72EB6">
      <w:pPr>
        <w:pStyle w:val="zw-paragraph"/>
        <w:spacing w:before="0" w:beforeAutospacing="0" w:after="0" w:afterAutospacing="0"/>
        <w:jc w:val="both"/>
        <w:rPr>
          <w:rFonts w:ascii="Arial" w:hAnsi="Arial" w:cs="Arial"/>
        </w:rPr>
      </w:pPr>
      <w:r w:rsidRPr="00D72EB6">
        <w:rPr>
          <w:rStyle w:val="eop"/>
          <w:rFonts w:ascii="Arial" w:hAnsi="Arial" w:cs="Arial"/>
        </w:rPr>
        <w:t> </w:t>
      </w:r>
    </w:p>
    <w:p w14:paraId="0E4FC0ED" w14:textId="77777777" w:rsidR="00D72EB6" w:rsidRPr="00D72EB6" w:rsidRDefault="00D72EB6" w:rsidP="00D72EB6">
      <w:pPr>
        <w:pStyle w:val="zw-paragraph"/>
        <w:spacing w:before="0" w:beforeAutospacing="0" w:after="0" w:afterAutospacing="0"/>
        <w:jc w:val="both"/>
        <w:rPr>
          <w:rFonts w:ascii="Arial" w:hAnsi="Arial" w:cs="Arial"/>
        </w:rPr>
      </w:pPr>
      <w:r w:rsidRPr="00D72EB6">
        <w:rPr>
          <w:rFonts w:ascii="Arial" w:hAnsi="Arial" w:cs="Arial"/>
          <w:b/>
          <w:bCs/>
          <w:color w:val="000000"/>
          <w:sz w:val="22"/>
          <w:szCs w:val="22"/>
        </w:rPr>
        <w:t>1. La información de la organización será inmediatamente procesable con el aumento de la analítica contextual</w:t>
      </w:r>
    </w:p>
    <w:p w14:paraId="24A8F7F3" w14:textId="77777777" w:rsidR="00D72EB6" w:rsidRPr="00D72EB6" w:rsidRDefault="00D72EB6" w:rsidP="00D72EB6">
      <w:pPr>
        <w:pStyle w:val="zw-paragraph"/>
        <w:spacing w:before="0" w:beforeAutospacing="0" w:after="0" w:afterAutospacing="0"/>
        <w:jc w:val="both"/>
        <w:rPr>
          <w:rFonts w:ascii="Arial" w:hAnsi="Arial" w:cs="Arial"/>
        </w:rPr>
      </w:pPr>
      <w:r w:rsidRPr="00D72EB6">
        <w:rPr>
          <w:rStyle w:val="eop"/>
          <w:rFonts w:ascii="Arial" w:hAnsi="Arial" w:cs="Arial"/>
        </w:rPr>
        <w:t> </w:t>
      </w:r>
    </w:p>
    <w:p w14:paraId="013CF36F" w14:textId="77777777" w:rsidR="00D72EB6" w:rsidRPr="00D72EB6" w:rsidRDefault="00D72EB6" w:rsidP="00D72EB6">
      <w:pPr>
        <w:pStyle w:val="zw-paragraph"/>
        <w:spacing w:before="0" w:beforeAutospacing="0" w:after="0" w:afterAutospacing="0"/>
        <w:jc w:val="both"/>
        <w:rPr>
          <w:rFonts w:ascii="Arial" w:hAnsi="Arial" w:cs="Arial"/>
        </w:rPr>
      </w:pPr>
      <w:r w:rsidRPr="00D72EB6">
        <w:rPr>
          <w:rFonts w:ascii="Arial" w:hAnsi="Arial" w:cs="Arial"/>
          <w:color w:val="000000"/>
          <w:sz w:val="22"/>
          <w:szCs w:val="22"/>
        </w:rPr>
        <w:t xml:space="preserve">Cuando los conocimientos se presentan directamente en una aplicación empresarial, las posibilidades de que una organización actúe en consecuencia son mucho mayores que cuando esos mismos conocimientos se presentan en un software de inteligencia empresarial independiente. Por ejemplo, cuando la información sobre la eficiencia de los proyectos está disponible en un software de gestión de proyectos, es más fácil para los gestores de proyectos relacionar las conclusiones con su trabajo diario y aplicar medidas para corregir las ineficiencias. </w:t>
      </w:r>
    </w:p>
    <w:p w14:paraId="1A5387BF" w14:textId="77777777" w:rsidR="00D72EB6" w:rsidRPr="00D72EB6" w:rsidRDefault="00D72EB6" w:rsidP="00D72EB6">
      <w:pPr>
        <w:pStyle w:val="zw-paragraph"/>
        <w:spacing w:before="0" w:beforeAutospacing="0" w:after="0" w:afterAutospacing="0"/>
        <w:jc w:val="both"/>
        <w:rPr>
          <w:rFonts w:ascii="Arial" w:hAnsi="Arial" w:cs="Arial"/>
        </w:rPr>
      </w:pPr>
      <w:r w:rsidRPr="00D72EB6">
        <w:rPr>
          <w:rStyle w:val="eop"/>
          <w:rFonts w:ascii="Arial" w:hAnsi="Arial" w:cs="Arial"/>
        </w:rPr>
        <w:t> </w:t>
      </w:r>
    </w:p>
    <w:p w14:paraId="118B7A7D" w14:textId="77777777" w:rsidR="00D72EB6" w:rsidRPr="00D72EB6" w:rsidRDefault="00D72EB6" w:rsidP="00D72EB6">
      <w:pPr>
        <w:pStyle w:val="zw-paragraph"/>
        <w:spacing w:before="0" w:beforeAutospacing="0" w:after="0" w:afterAutospacing="0"/>
        <w:jc w:val="both"/>
        <w:rPr>
          <w:rFonts w:ascii="Arial" w:hAnsi="Arial" w:cs="Arial"/>
        </w:rPr>
      </w:pPr>
      <w:r w:rsidRPr="00D72EB6">
        <w:rPr>
          <w:rFonts w:ascii="Arial" w:hAnsi="Arial" w:cs="Arial"/>
          <w:color w:val="000000"/>
          <w:sz w:val="22"/>
          <w:szCs w:val="22"/>
        </w:rPr>
        <w:t xml:space="preserve">Se espera que la manera de entrenar y desplegar los modelos de IA cambie significativamente en el próximo año. Con técnicas más sostenibles, como el </w:t>
      </w:r>
      <w:proofErr w:type="spellStart"/>
      <w:r w:rsidRPr="00D72EB6">
        <w:rPr>
          <w:rFonts w:ascii="Arial" w:hAnsi="Arial" w:cs="Arial"/>
          <w:color w:val="000000"/>
          <w:sz w:val="22"/>
          <w:szCs w:val="22"/>
        </w:rPr>
        <w:t>metaaprendizaje</w:t>
      </w:r>
      <w:proofErr w:type="spellEnd"/>
      <w:r w:rsidRPr="00D72EB6">
        <w:rPr>
          <w:rFonts w:ascii="Arial" w:hAnsi="Arial" w:cs="Arial"/>
          <w:color w:val="000000"/>
          <w:sz w:val="22"/>
          <w:szCs w:val="22"/>
        </w:rPr>
        <w:t xml:space="preserve">, el aprendizaje por transferencia y la IA causal, que se espera que complementen el aprendizaje profundo, la IA y el ML acabarán convirtiéndose en elementos integrados de pleno derecho en los flujos de trabajo de análisis contextual. </w:t>
      </w:r>
    </w:p>
    <w:p w14:paraId="2EE6D30F" w14:textId="77777777" w:rsidR="00D72EB6" w:rsidRPr="00D72EB6" w:rsidRDefault="00D72EB6" w:rsidP="00D72EB6">
      <w:pPr>
        <w:pStyle w:val="zw-paragraph"/>
        <w:spacing w:before="0" w:beforeAutospacing="0" w:after="0" w:afterAutospacing="0"/>
        <w:jc w:val="both"/>
        <w:rPr>
          <w:rFonts w:ascii="Arial" w:hAnsi="Arial" w:cs="Arial"/>
        </w:rPr>
      </w:pPr>
      <w:r w:rsidRPr="00D72EB6">
        <w:rPr>
          <w:rStyle w:val="eop"/>
          <w:rFonts w:ascii="Arial" w:hAnsi="Arial" w:cs="Arial"/>
        </w:rPr>
        <w:t> </w:t>
      </w:r>
    </w:p>
    <w:p w14:paraId="683BA6C6" w14:textId="77777777" w:rsidR="00D72EB6" w:rsidRPr="00D72EB6" w:rsidRDefault="00D72EB6" w:rsidP="00D72EB6">
      <w:pPr>
        <w:pStyle w:val="zw-paragraph"/>
        <w:spacing w:before="0" w:beforeAutospacing="0" w:after="0" w:afterAutospacing="0"/>
        <w:jc w:val="both"/>
        <w:rPr>
          <w:rFonts w:ascii="Arial" w:hAnsi="Arial" w:cs="Arial"/>
        </w:rPr>
      </w:pPr>
      <w:r w:rsidRPr="00D72EB6">
        <w:rPr>
          <w:rFonts w:ascii="Arial" w:hAnsi="Arial" w:cs="Arial"/>
          <w:b/>
          <w:bCs/>
          <w:color w:val="000000"/>
          <w:sz w:val="22"/>
          <w:szCs w:val="22"/>
        </w:rPr>
        <w:t xml:space="preserve">2. El modelo de malla de ciberseguridad ofrecerá una mejor protección en la era de la mano de obra híbrida </w:t>
      </w:r>
    </w:p>
    <w:p w14:paraId="5379E497" w14:textId="77777777" w:rsidR="00D72EB6" w:rsidRPr="00D72EB6" w:rsidRDefault="00D72EB6" w:rsidP="00D72EB6">
      <w:pPr>
        <w:pStyle w:val="zw-paragraph"/>
        <w:spacing w:before="0" w:beforeAutospacing="0" w:after="0" w:afterAutospacing="0"/>
        <w:jc w:val="both"/>
        <w:rPr>
          <w:rFonts w:ascii="Arial" w:hAnsi="Arial" w:cs="Arial"/>
        </w:rPr>
      </w:pPr>
      <w:r w:rsidRPr="00D72EB6">
        <w:rPr>
          <w:rStyle w:val="eop"/>
          <w:rFonts w:ascii="Arial" w:hAnsi="Arial" w:cs="Arial"/>
        </w:rPr>
        <w:t> </w:t>
      </w:r>
    </w:p>
    <w:p w14:paraId="0643512C" w14:textId="77777777" w:rsidR="00D72EB6" w:rsidRPr="00D72EB6" w:rsidRDefault="00D72EB6" w:rsidP="00D72EB6">
      <w:pPr>
        <w:pStyle w:val="zw-paragraph"/>
        <w:spacing w:before="0" w:beforeAutospacing="0" w:after="0" w:afterAutospacing="0"/>
        <w:jc w:val="both"/>
        <w:rPr>
          <w:rFonts w:ascii="Arial" w:hAnsi="Arial" w:cs="Arial"/>
        </w:rPr>
      </w:pPr>
      <w:r w:rsidRPr="00D72EB6">
        <w:rPr>
          <w:rFonts w:ascii="Arial" w:hAnsi="Arial" w:cs="Arial"/>
          <w:color w:val="000000"/>
          <w:sz w:val="22"/>
          <w:szCs w:val="22"/>
        </w:rPr>
        <w:t xml:space="preserve">A medida que los empleados siguen accediendo a los recursos de la organización desde diferentes lugares, la seguridad tradicional basada en la red se está quedando obsoleta. El panorama de la seguridad ha evolucionado en parte debido al cambio acelerado a la nube y al uso de dispositivos personales no verificados, lo que hace que muchas organizaciones sean muy susceptibles a las </w:t>
      </w:r>
      <w:proofErr w:type="spellStart"/>
      <w:r w:rsidRPr="00D72EB6">
        <w:rPr>
          <w:rFonts w:ascii="Arial" w:hAnsi="Arial" w:cs="Arial"/>
          <w:color w:val="000000"/>
          <w:sz w:val="22"/>
          <w:szCs w:val="22"/>
        </w:rPr>
        <w:t>ciberamenazas</w:t>
      </w:r>
      <w:proofErr w:type="spellEnd"/>
      <w:r w:rsidRPr="00D72EB6">
        <w:rPr>
          <w:rFonts w:ascii="Arial" w:hAnsi="Arial" w:cs="Arial"/>
          <w:color w:val="000000"/>
          <w:sz w:val="22"/>
          <w:szCs w:val="22"/>
        </w:rPr>
        <w:t xml:space="preserve"> y a los ataques internos. </w:t>
      </w:r>
    </w:p>
    <w:p w14:paraId="5F8DB011" w14:textId="77777777" w:rsidR="00D72EB6" w:rsidRPr="00D72EB6" w:rsidRDefault="00D72EB6" w:rsidP="00D72EB6">
      <w:pPr>
        <w:pStyle w:val="zw-paragraph"/>
        <w:spacing w:before="0" w:beforeAutospacing="0" w:after="0" w:afterAutospacing="0"/>
        <w:jc w:val="both"/>
        <w:rPr>
          <w:rFonts w:ascii="Arial" w:hAnsi="Arial" w:cs="Arial"/>
        </w:rPr>
      </w:pPr>
      <w:r w:rsidRPr="00D72EB6">
        <w:rPr>
          <w:rStyle w:val="eop"/>
          <w:rFonts w:ascii="Arial" w:hAnsi="Arial" w:cs="Arial"/>
        </w:rPr>
        <w:t> </w:t>
      </w:r>
    </w:p>
    <w:p w14:paraId="59A86706" w14:textId="77777777" w:rsidR="00D72EB6" w:rsidRPr="00D72EB6" w:rsidRDefault="00D72EB6" w:rsidP="00D72EB6">
      <w:pPr>
        <w:pStyle w:val="zw-paragraph"/>
        <w:spacing w:before="0" w:beforeAutospacing="0" w:after="0" w:afterAutospacing="0"/>
        <w:jc w:val="both"/>
        <w:rPr>
          <w:rFonts w:ascii="Arial" w:hAnsi="Arial" w:cs="Arial"/>
        </w:rPr>
      </w:pPr>
      <w:r w:rsidRPr="00D72EB6">
        <w:rPr>
          <w:rFonts w:ascii="Arial" w:hAnsi="Arial" w:cs="Arial"/>
          <w:color w:val="000000"/>
          <w:sz w:val="22"/>
          <w:szCs w:val="22"/>
        </w:rPr>
        <w:t>En este escenario, un modelo de malla de ciberseguridad, con su principio central de confianza cero, ganará más tracción. El modelo de malla de ciberseguridad es un enfoque distribuido en el que se construyen perímetros de seguridad individuales más pequeños alrededor de personas u objetos que actúan como puntos de acceso, ofreciendo así a los equipos de TI un mejor control de la seguridad.</w:t>
      </w:r>
    </w:p>
    <w:p w14:paraId="2C852BC5" w14:textId="77777777" w:rsidR="00D72EB6" w:rsidRPr="00D72EB6" w:rsidRDefault="00D72EB6" w:rsidP="00D72EB6">
      <w:pPr>
        <w:pStyle w:val="zw-paragraph"/>
        <w:spacing w:before="0" w:beforeAutospacing="0" w:after="0" w:afterAutospacing="0"/>
        <w:jc w:val="both"/>
        <w:rPr>
          <w:rFonts w:ascii="Arial" w:hAnsi="Arial" w:cs="Arial"/>
        </w:rPr>
      </w:pPr>
      <w:r w:rsidRPr="00D72EB6">
        <w:rPr>
          <w:rStyle w:val="eop"/>
          <w:rFonts w:ascii="Arial" w:hAnsi="Arial" w:cs="Arial"/>
        </w:rPr>
        <w:lastRenderedPageBreak/>
        <w:t> </w:t>
      </w:r>
    </w:p>
    <w:p w14:paraId="0BECEF33" w14:textId="77777777" w:rsidR="00D72EB6" w:rsidRPr="00D72EB6" w:rsidRDefault="00D72EB6" w:rsidP="00D72EB6">
      <w:pPr>
        <w:pStyle w:val="zw-paragraph"/>
        <w:spacing w:before="0" w:beforeAutospacing="0" w:after="0" w:afterAutospacing="0"/>
        <w:jc w:val="both"/>
        <w:rPr>
          <w:rFonts w:ascii="Arial" w:hAnsi="Arial" w:cs="Arial"/>
        </w:rPr>
      </w:pPr>
      <w:r w:rsidRPr="00D72EB6">
        <w:rPr>
          <w:rFonts w:ascii="Arial" w:hAnsi="Arial" w:cs="Arial"/>
          <w:b/>
          <w:bCs/>
          <w:color w:val="000000"/>
          <w:sz w:val="22"/>
          <w:szCs w:val="22"/>
        </w:rPr>
        <w:t>3. Los modelos operativos de TI seguirán evolucionando para apoyar a la fuerza de trabajo híbrida</w:t>
      </w:r>
    </w:p>
    <w:p w14:paraId="1BA127B5" w14:textId="77777777" w:rsidR="00D72EB6" w:rsidRPr="00D72EB6" w:rsidRDefault="00D72EB6" w:rsidP="00D72EB6">
      <w:pPr>
        <w:pStyle w:val="zw-paragraph"/>
        <w:spacing w:before="0" w:beforeAutospacing="0" w:after="0" w:afterAutospacing="0"/>
        <w:jc w:val="both"/>
        <w:rPr>
          <w:rFonts w:ascii="Arial" w:hAnsi="Arial" w:cs="Arial"/>
        </w:rPr>
      </w:pPr>
      <w:r w:rsidRPr="00D72EB6">
        <w:rPr>
          <w:rFonts w:ascii="Arial" w:hAnsi="Arial" w:cs="Arial"/>
        </w:rPr>
        <w:br/>
      </w:r>
      <w:r w:rsidRPr="00D72EB6">
        <w:rPr>
          <w:rFonts w:ascii="Arial" w:hAnsi="Arial" w:cs="Arial"/>
          <w:color w:val="000000"/>
          <w:sz w:val="22"/>
          <w:szCs w:val="22"/>
        </w:rPr>
        <w:t xml:space="preserve">Las organizaciones tuvieron que dar tumbos en la aplicación de sus planes de continuidad de negocio en respuesta al primer bloqueo. Pero como </w:t>
      </w:r>
      <w:hyperlink r:id="rId8" w:history="1">
        <w:r w:rsidRPr="00D72EB6">
          <w:rPr>
            <w:rStyle w:val="Hipervnculo"/>
            <w:rFonts w:ascii="Arial" w:hAnsi="Arial" w:cs="Arial"/>
            <w:color w:val="1155CC"/>
            <w:sz w:val="22"/>
            <w:szCs w:val="22"/>
          </w:rPr>
          <w:t>los empleados prefieren el trabajo híbrido a largo plazo</w:t>
        </w:r>
      </w:hyperlink>
      <w:r w:rsidRPr="00D72EB6">
        <w:rPr>
          <w:rFonts w:ascii="Arial" w:hAnsi="Arial" w:cs="Arial"/>
          <w:color w:val="000000"/>
          <w:sz w:val="22"/>
          <w:szCs w:val="22"/>
        </w:rPr>
        <w:t xml:space="preserve">, habrá que introducir más cambios en los modelos operativos para garantizar que el trabajo híbrido sea ágil y sostenible. </w:t>
      </w:r>
    </w:p>
    <w:p w14:paraId="107D1CBB" w14:textId="77777777" w:rsidR="00D72EB6" w:rsidRPr="00D72EB6" w:rsidRDefault="00D72EB6" w:rsidP="00D72EB6">
      <w:pPr>
        <w:pStyle w:val="zw-paragraph"/>
        <w:spacing w:before="0" w:beforeAutospacing="0" w:after="0" w:afterAutospacing="0"/>
        <w:jc w:val="both"/>
        <w:rPr>
          <w:rFonts w:ascii="Arial" w:hAnsi="Arial" w:cs="Arial"/>
        </w:rPr>
      </w:pPr>
      <w:r w:rsidRPr="00D72EB6">
        <w:rPr>
          <w:rFonts w:ascii="Arial" w:hAnsi="Arial" w:cs="Arial"/>
        </w:rPr>
        <w:br/>
      </w:r>
      <w:r w:rsidRPr="00D72EB6">
        <w:rPr>
          <w:rFonts w:ascii="Arial" w:hAnsi="Arial" w:cs="Arial"/>
          <w:color w:val="000000"/>
          <w:sz w:val="22"/>
          <w:szCs w:val="22"/>
        </w:rPr>
        <w:t>A pesar de los portales de autoservicio, la productividad de los empleados remotos sigue viéndose interrumpida cuando se produce un incidente. En la era del trabajo híbrido, serán más importantes que nunca aspectos como la gestión de servicios sin contacto para gestionar incidencias solucionables por máquinas, el monitoreo de la experiencia digital para garantizar una alta disponibilidad y mejoras constantes a los usuarios finales, y una mayor adopción del escritorio como servicio y las VDI.    </w:t>
      </w:r>
    </w:p>
    <w:p w14:paraId="2AC3DA79" w14:textId="77777777" w:rsidR="00D72EB6" w:rsidRPr="00D72EB6" w:rsidRDefault="00D72EB6" w:rsidP="00D72EB6">
      <w:pPr>
        <w:pStyle w:val="zw-paragraph"/>
        <w:spacing w:before="0" w:beforeAutospacing="0" w:after="0" w:afterAutospacing="0"/>
        <w:jc w:val="both"/>
        <w:rPr>
          <w:rFonts w:ascii="Arial" w:hAnsi="Arial" w:cs="Arial"/>
        </w:rPr>
      </w:pPr>
      <w:r w:rsidRPr="00D72EB6">
        <w:rPr>
          <w:rStyle w:val="eop"/>
          <w:rFonts w:ascii="Arial" w:hAnsi="Arial" w:cs="Arial"/>
        </w:rPr>
        <w:t> </w:t>
      </w:r>
    </w:p>
    <w:p w14:paraId="36A111B3" w14:textId="77777777" w:rsidR="00D72EB6" w:rsidRPr="00D72EB6" w:rsidRDefault="00D72EB6" w:rsidP="00D72EB6">
      <w:pPr>
        <w:pStyle w:val="zw-paragraph"/>
        <w:spacing w:before="0" w:beforeAutospacing="0" w:after="0" w:afterAutospacing="0"/>
        <w:jc w:val="both"/>
        <w:rPr>
          <w:rFonts w:ascii="Arial" w:hAnsi="Arial" w:cs="Arial"/>
        </w:rPr>
      </w:pPr>
      <w:r w:rsidRPr="00D72EB6">
        <w:rPr>
          <w:rFonts w:ascii="Arial" w:hAnsi="Arial" w:cs="Arial"/>
          <w:b/>
          <w:bCs/>
          <w:color w:val="000000"/>
          <w:sz w:val="22"/>
          <w:szCs w:val="22"/>
        </w:rPr>
        <w:t xml:space="preserve">4. Las </w:t>
      </w:r>
      <w:proofErr w:type="spellStart"/>
      <w:r w:rsidRPr="00D72EB6">
        <w:rPr>
          <w:rFonts w:ascii="Arial" w:hAnsi="Arial" w:cs="Arial"/>
          <w:b/>
          <w:bCs/>
          <w:color w:val="000000"/>
          <w:sz w:val="22"/>
          <w:szCs w:val="22"/>
        </w:rPr>
        <w:t>AIOps</w:t>
      </w:r>
      <w:proofErr w:type="spellEnd"/>
      <w:r w:rsidRPr="00D72EB6">
        <w:rPr>
          <w:rFonts w:ascii="Arial" w:hAnsi="Arial" w:cs="Arial"/>
          <w:b/>
          <w:bCs/>
          <w:color w:val="000000"/>
          <w:sz w:val="22"/>
          <w:szCs w:val="22"/>
        </w:rPr>
        <w:t xml:space="preserve"> y la automatización de las TI serán elementos fundamentales de las arquitecturas tecnológicas de las empresas</w:t>
      </w:r>
    </w:p>
    <w:p w14:paraId="5C30CD47" w14:textId="77777777" w:rsidR="00D72EB6" w:rsidRPr="00D72EB6" w:rsidRDefault="00D72EB6" w:rsidP="00D72EB6">
      <w:pPr>
        <w:pStyle w:val="zw-paragraph"/>
        <w:spacing w:before="0" w:beforeAutospacing="0" w:after="0" w:afterAutospacing="0"/>
        <w:jc w:val="both"/>
        <w:rPr>
          <w:rFonts w:ascii="Arial" w:hAnsi="Arial" w:cs="Arial"/>
        </w:rPr>
      </w:pPr>
      <w:r w:rsidRPr="00D72EB6">
        <w:rPr>
          <w:rFonts w:ascii="Arial" w:hAnsi="Arial" w:cs="Arial"/>
        </w:rPr>
        <w:br/>
      </w:r>
      <w:r w:rsidRPr="00D72EB6">
        <w:rPr>
          <w:rFonts w:ascii="Arial" w:hAnsi="Arial" w:cs="Arial"/>
          <w:color w:val="000000"/>
          <w:sz w:val="22"/>
          <w:szCs w:val="22"/>
        </w:rPr>
        <w:t xml:space="preserve">La creciente omnipresencia de la IA, respaldada por las </w:t>
      </w:r>
      <w:hyperlink r:id="rId9" w:history="1">
        <w:r w:rsidRPr="00D72EB6">
          <w:rPr>
            <w:rStyle w:val="Hipervnculo"/>
            <w:rFonts w:ascii="Arial" w:hAnsi="Arial" w:cs="Arial"/>
            <w:color w:val="1155CC"/>
            <w:sz w:val="22"/>
            <w:szCs w:val="22"/>
          </w:rPr>
          <w:t>mejoras operativas</w:t>
        </w:r>
      </w:hyperlink>
      <w:r w:rsidRPr="00D72EB6">
        <w:rPr>
          <w:rFonts w:ascii="Arial" w:hAnsi="Arial" w:cs="Arial"/>
          <w:color w:val="000000"/>
          <w:sz w:val="22"/>
          <w:szCs w:val="22"/>
        </w:rPr>
        <w:t xml:space="preserve"> que conlleva, permite ver que la IA seguirá consolidándose como piedra angular en la arquitectura tecnológica de las organizaciones. Los responsables de TI dependerán más de las </w:t>
      </w:r>
      <w:proofErr w:type="spellStart"/>
      <w:r w:rsidRPr="00D72EB6">
        <w:rPr>
          <w:rFonts w:ascii="Arial" w:hAnsi="Arial" w:cs="Arial"/>
          <w:color w:val="000000"/>
          <w:sz w:val="22"/>
          <w:szCs w:val="22"/>
        </w:rPr>
        <w:t>AIOps</w:t>
      </w:r>
      <w:proofErr w:type="spellEnd"/>
      <w:r w:rsidRPr="00D72EB6">
        <w:rPr>
          <w:rFonts w:ascii="Arial" w:hAnsi="Arial" w:cs="Arial"/>
          <w:color w:val="000000"/>
          <w:sz w:val="22"/>
          <w:szCs w:val="22"/>
        </w:rPr>
        <w:t xml:space="preserve"> y de la automatización inteligente, a través de las cuales se detectan los problemas mediante algoritmos y se resuelven automáticamente antes de que perturben la productividad o las operaciones de la red. La supervisión impulsada por las </w:t>
      </w:r>
      <w:proofErr w:type="spellStart"/>
      <w:r w:rsidRPr="00D72EB6">
        <w:rPr>
          <w:rFonts w:ascii="Arial" w:hAnsi="Arial" w:cs="Arial"/>
          <w:color w:val="000000"/>
          <w:sz w:val="22"/>
          <w:szCs w:val="22"/>
        </w:rPr>
        <w:t>AIOps</w:t>
      </w:r>
      <w:proofErr w:type="spellEnd"/>
      <w:r w:rsidRPr="00D72EB6">
        <w:rPr>
          <w:rFonts w:ascii="Arial" w:hAnsi="Arial" w:cs="Arial"/>
          <w:color w:val="000000"/>
          <w:sz w:val="22"/>
          <w:szCs w:val="22"/>
        </w:rPr>
        <w:t xml:space="preserve"> desempeñará un papel fundamental en la previsión, la planificación de la capacidad, la lucha contra la fatiga de las alertas y el mantenimiento de la postura de seguridad de una organización.</w:t>
      </w:r>
    </w:p>
    <w:p w14:paraId="5740010C" w14:textId="77777777" w:rsidR="00D72EB6" w:rsidRPr="00D72EB6" w:rsidRDefault="00D72EB6" w:rsidP="00D72EB6">
      <w:pPr>
        <w:pStyle w:val="zw-paragraph"/>
        <w:spacing w:before="0" w:beforeAutospacing="0" w:after="0" w:afterAutospacing="0"/>
        <w:jc w:val="both"/>
        <w:rPr>
          <w:rFonts w:ascii="Arial" w:hAnsi="Arial" w:cs="Arial"/>
        </w:rPr>
      </w:pPr>
      <w:r w:rsidRPr="00D72EB6">
        <w:rPr>
          <w:rStyle w:val="eop"/>
          <w:rFonts w:ascii="Arial" w:hAnsi="Arial" w:cs="Arial"/>
        </w:rPr>
        <w:t> </w:t>
      </w:r>
    </w:p>
    <w:p w14:paraId="4D75048C" w14:textId="77777777" w:rsidR="00D72EB6" w:rsidRPr="00D72EB6" w:rsidRDefault="00D72EB6" w:rsidP="00D72EB6">
      <w:pPr>
        <w:pStyle w:val="zw-paragraph"/>
        <w:spacing w:before="0" w:beforeAutospacing="0" w:after="0" w:afterAutospacing="0"/>
        <w:jc w:val="both"/>
        <w:rPr>
          <w:rFonts w:ascii="Arial" w:hAnsi="Arial" w:cs="Arial"/>
        </w:rPr>
      </w:pPr>
      <w:r w:rsidRPr="00D72EB6">
        <w:rPr>
          <w:rFonts w:ascii="Arial" w:hAnsi="Arial" w:cs="Arial"/>
          <w:b/>
          <w:bCs/>
          <w:color w:val="000000"/>
          <w:sz w:val="22"/>
          <w:szCs w:val="22"/>
        </w:rPr>
        <w:t>5. La escasez de competencias en ciberseguridad podría obligar a las organizaciones a recurrir a los proveedores de servicios</w:t>
      </w:r>
    </w:p>
    <w:p w14:paraId="1D3C4AE0" w14:textId="77777777" w:rsidR="00D72EB6" w:rsidRPr="00D72EB6" w:rsidRDefault="00D72EB6" w:rsidP="00D72EB6">
      <w:pPr>
        <w:pStyle w:val="zw-paragraph"/>
        <w:spacing w:before="0" w:beforeAutospacing="0" w:after="0" w:afterAutospacing="0"/>
        <w:jc w:val="both"/>
        <w:rPr>
          <w:rFonts w:ascii="Arial" w:hAnsi="Arial" w:cs="Arial"/>
        </w:rPr>
      </w:pPr>
      <w:r w:rsidRPr="00D72EB6">
        <w:rPr>
          <w:rStyle w:val="eop"/>
          <w:rFonts w:ascii="Arial" w:hAnsi="Arial" w:cs="Arial"/>
        </w:rPr>
        <w:t> </w:t>
      </w:r>
    </w:p>
    <w:p w14:paraId="2D1128F3" w14:textId="77777777" w:rsidR="00D72EB6" w:rsidRPr="00D72EB6" w:rsidRDefault="00D72EB6" w:rsidP="00D72EB6">
      <w:pPr>
        <w:jc w:val="both"/>
      </w:pPr>
      <w:r w:rsidRPr="00D72EB6">
        <w:rPr>
          <w:color w:val="000000"/>
        </w:rPr>
        <w:t>Es probable que haya un desequilibrio entre la oferta y la demanda de empleados cualificados en el ámbito de la ciberseguridad. Para hacer frente a sus necesidades cambiantes, las organizaciones utilizarán cada vez más los servicios de los MSSP y los proveedores de detección y respuesta gestionada. Por ejemplo, el aumento de los empleados remotos, la adopción de la nube y la necesidad de cumplir las normativas hacen que la IAM sea un proceso tedioso para la mayoría de las organizaciones. Dado que muchas organizaciones carecen de las habilidades y los recursos necesarios para implementar una solución de IAM, más organizaciones recurrirán a los proveedores de Identidad como Servicio (</w:t>
      </w:r>
      <w:proofErr w:type="spellStart"/>
      <w:r w:rsidRPr="00D72EB6">
        <w:rPr>
          <w:color w:val="000000"/>
        </w:rPr>
        <w:t>IDaaS</w:t>
      </w:r>
      <w:proofErr w:type="spellEnd"/>
      <w:r w:rsidRPr="00D72EB6">
        <w:rPr>
          <w:color w:val="000000"/>
        </w:rPr>
        <w:t xml:space="preserve"> - </w:t>
      </w:r>
      <w:proofErr w:type="spellStart"/>
      <w:r w:rsidRPr="00D72EB6">
        <w:rPr>
          <w:color w:val="000000"/>
        </w:rPr>
        <w:t>Identity</w:t>
      </w:r>
      <w:proofErr w:type="spellEnd"/>
      <w:r w:rsidRPr="00D72EB6">
        <w:rPr>
          <w:color w:val="000000"/>
        </w:rPr>
        <w:t xml:space="preserve"> as a </w:t>
      </w:r>
      <w:proofErr w:type="spellStart"/>
      <w:r w:rsidRPr="00D72EB6">
        <w:rPr>
          <w:color w:val="000000"/>
        </w:rPr>
        <w:t>Service</w:t>
      </w:r>
      <w:proofErr w:type="spellEnd"/>
      <w:r w:rsidRPr="00D72EB6">
        <w:rPr>
          <w:color w:val="000000"/>
        </w:rPr>
        <w:t>) para desempeñar este papel.</w:t>
      </w:r>
    </w:p>
    <w:p w14:paraId="4C4014FD" w14:textId="77777777" w:rsidR="002B3C18" w:rsidRPr="00D72EB6" w:rsidRDefault="002B3C18" w:rsidP="00D72EB6">
      <w:pPr>
        <w:shd w:val="clear" w:color="auto" w:fill="FFFFFF"/>
        <w:spacing w:line="240" w:lineRule="auto"/>
        <w:jc w:val="both"/>
        <w:rPr>
          <w:rFonts w:eastAsia="Times New Roman"/>
          <w:color w:val="222222"/>
          <w:sz w:val="20"/>
          <w:szCs w:val="20"/>
          <w:lang w:eastAsia="es-MX"/>
        </w:rPr>
      </w:pPr>
      <w:r w:rsidRPr="00D72EB6">
        <w:rPr>
          <w:rFonts w:eastAsia="Times New Roman"/>
          <w:color w:val="000000"/>
          <w:sz w:val="20"/>
          <w:szCs w:val="20"/>
          <w:lang w:eastAsia="es-MX"/>
        </w:rPr>
        <w:t> </w:t>
      </w:r>
    </w:p>
    <w:p w14:paraId="6FF3D517" w14:textId="3D3872B7" w:rsidR="00943108" w:rsidRPr="00D72EB6" w:rsidRDefault="00943108" w:rsidP="00D72EB6">
      <w:pPr>
        <w:shd w:val="clear" w:color="auto" w:fill="FFFFFF"/>
        <w:spacing w:line="240" w:lineRule="auto"/>
        <w:jc w:val="both"/>
        <w:rPr>
          <w:sz w:val="18"/>
          <w:szCs w:val="18"/>
        </w:rPr>
      </w:pPr>
    </w:p>
    <w:p w14:paraId="7842B895" w14:textId="77777777" w:rsidR="00943108" w:rsidRDefault="00C72673">
      <w:pPr>
        <w:shd w:val="clear" w:color="auto" w:fill="FFFFFF"/>
        <w:spacing w:line="240" w:lineRule="auto"/>
        <w:jc w:val="both"/>
        <w:rPr>
          <w:sz w:val="18"/>
          <w:szCs w:val="18"/>
        </w:rPr>
      </w:pPr>
      <w:r>
        <w:rPr>
          <w:sz w:val="18"/>
          <w:szCs w:val="18"/>
        </w:rPr>
        <w:t>  </w:t>
      </w:r>
    </w:p>
    <w:p w14:paraId="305494FA" w14:textId="77777777" w:rsidR="00D72EB6" w:rsidRDefault="00D72EB6">
      <w:pPr>
        <w:shd w:val="clear" w:color="auto" w:fill="FFFFFF"/>
        <w:spacing w:line="240" w:lineRule="auto"/>
        <w:jc w:val="both"/>
        <w:rPr>
          <w:sz w:val="18"/>
          <w:szCs w:val="18"/>
        </w:rPr>
      </w:pPr>
    </w:p>
    <w:p w14:paraId="43CE4B02" w14:textId="77777777" w:rsidR="00D72EB6" w:rsidRDefault="00D72EB6">
      <w:pPr>
        <w:shd w:val="clear" w:color="auto" w:fill="FFFFFF"/>
        <w:spacing w:line="240" w:lineRule="auto"/>
        <w:jc w:val="both"/>
        <w:rPr>
          <w:sz w:val="18"/>
          <w:szCs w:val="18"/>
        </w:rPr>
      </w:pPr>
    </w:p>
    <w:p w14:paraId="5F97F7DC" w14:textId="77777777" w:rsidR="00D72EB6" w:rsidRDefault="00D72EB6">
      <w:pPr>
        <w:shd w:val="clear" w:color="auto" w:fill="FFFFFF"/>
        <w:spacing w:line="240" w:lineRule="auto"/>
        <w:jc w:val="both"/>
        <w:rPr>
          <w:sz w:val="18"/>
          <w:szCs w:val="18"/>
        </w:rPr>
      </w:pPr>
    </w:p>
    <w:p w14:paraId="508F45DD" w14:textId="77777777" w:rsidR="00D72EB6" w:rsidRDefault="00D72EB6">
      <w:pPr>
        <w:shd w:val="clear" w:color="auto" w:fill="FFFFFF"/>
        <w:spacing w:line="240" w:lineRule="auto"/>
        <w:jc w:val="both"/>
        <w:rPr>
          <w:sz w:val="18"/>
          <w:szCs w:val="18"/>
        </w:rPr>
      </w:pPr>
    </w:p>
    <w:p w14:paraId="519AE46C" w14:textId="77777777" w:rsidR="00D72EB6" w:rsidRDefault="00D72EB6">
      <w:pPr>
        <w:shd w:val="clear" w:color="auto" w:fill="FFFFFF"/>
        <w:spacing w:line="240" w:lineRule="auto"/>
        <w:jc w:val="both"/>
        <w:rPr>
          <w:sz w:val="18"/>
          <w:szCs w:val="18"/>
        </w:rPr>
      </w:pPr>
    </w:p>
    <w:p w14:paraId="4DE2C810" w14:textId="77777777" w:rsidR="00D72EB6" w:rsidRDefault="00D72EB6">
      <w:pPr>
        <w:shd w:val="clear" w:color="auto" w:fill="FFFFFF"/>
        <w:spacing w:line="240" w:lineRule="auto"/>
        <w:jc w:val="both"/>
        <w:rPr>
          <w:sz w:val="18"/>
          <w:szCs w:val="18"/>
        </w:rPr>
      </w:pPr>
    </w:p>
    <w:p w14:paraId="02364706" w14:textId="77777777" w:rsidR="00D72EB6" w:rsidRDefault="00D72EB6">
      <w:pPr>
        <w:shd w:val="clear" w:color="auto" w:fill="FFFFFF"/>
        <w:spacing w:line="240" w:lineRule="auto"/>
        <w:jc w:val="both"/>
        <w:rPr>
          <w:sz w:val="18"/>
          <w:szCs w:val="18"/>
        </w:rPr>
      </w:pPr>
    </w:p>
    <w:p w14:paraId="38BED645" w14:textId="77777777" w:rsidR="00D72EB6" w:rsidRDefault="00D72EB6">
      <w:pPr>
        <w:shd w:val="clear" w:color="auto" w:fill="FFFFFF"/>
        <w:spacing w:line="240" w:lineRule="auto"/>
        <w:jc w:val="both"/>
        <w:rPr>
          <w:sz w:val="18"/>
          <w:szCs w:val="18"/>
        </w:rPr>
      </w:pPr>
    </w:p>
    <w:p w14:paraId="004DC36C" w14:textId="77777777" w:rsidR="00D72EB6" w:rsidRDefault="00D72EB6">
      <w:pPr>
        <w:shd w:val="clear" w:color="auto" w:fill="FFFFFF"/>
        <w:spacing w:line="240" w:lineRule="auto"/>
        <w:jc w:val="both"/>
        <w:rPr>
          <w:sz w:val="18"/>
          <w:szCs w:val="18"/>
        </w:rPr>
      </w:pPr>
    </w:p>
    <w:p w14:paraId="60A1D384" w14:textId="77777777" w:rsidR="00D72EB6" w:rsidRDefault="00D72EB6">
      <w:pPr>
        <w:shd w:val="clear" w:color="auto" w:fill="FFFFFF"/>
        <w:spacing w:line="240" w:lineRule="auto"/>
        <w:jc w:val="both"/>
        <w:rPr>
          <w:sz w:val="18"/>
          <w:szCs w:val="18"/>
        </w:rPr>
      </w:pPr>
    </w:p>
    <w:p w14:paraId="32B01541" w14:textId="424EB5D0" w:rsidR="00943108" w:rsidRDefault="00C72673">
      <w:pPr>
        <w:shd w:val="clear" w:color="auto" w:fill="FFFFFF"/>
        <w:spacing w:line="240" w:lineRule="auto"/>
        <w:jc w:val="both"/>
        <w:rPr>
          <w:sz w:val="18"/>
          <w:szCs w:val="18"/>
        </w:rPr>
      </w:pPr>
      <w:r>
        <w:rPr>
          <w:sz w:val="18"/>
          <w:szCs w:val="18"/>
        </w:rPr>
        <w:t>###</w:t>
      </w:r>
    </w:p>
    <w:p w14:paraId="282C3276" w14:textId="77777777" w:rsidR="00943108" w:rsidRDefault="00C72673">
      <w:pPr>
        <w:shd w:val="clear" w:color="auto" w:fill="FFFFFF"/>
        <w:spacing w:line="240" w:lineRule="auto"/>
        <w:jc w:val="both"/>
        <w:rPr>
          <w:sz w:val="18"/>
          <w:szCs w:val="18"/>
        </w:rPr>
      </w:pPr>
      <w:r>
        <w:rPr>
          <w:sz w:val="18"/>
          <w:szCs w:val="18"/>
        </w:rPr>
        <w:t> </w:t>
      </w:r>
    </w:p>
    <w:p w14:paraId="42989629" w14:textId="77777777" w:rsidR="00943108" w:rsidRDefault="00C72673">
      <w:pPr>
        <w:shd w:val="clear" w:color="auto" w:fill="FFFFFF"/>
        <w:spacing w:line="240" w:lineRule="auto"/>
        <w:jc w:val="both"/>
        <w:rPr>
          <w:sz w:val="18"/>
          <w:szCs w:val="18"/>
        </w:rPr>
      </w:pPr>
      <w:r>
        <w:rPr>
          <w:b/>
          <w:sz w:val="18"/>
          <w:szCs w:val="18"/>
        </w:rPr>
        <w:t>Acerca de ManageEngine</w:t>
      </w:r>
    </w:p>
    <w:p w14:paraId="72C56CB2" w14:textId="77777777" w:rsidR="00943108" w:rsidRDefault="00C72673">
      <w:pPr>
        <w:shd w:val="clear" w:color="auto" w:fill="FFFFFF"/>
        <w:spacing w:line="240" w:lineRule="auto"/>
        <w:jc w:val="both"/>
        <w:rPr>
          <w:sz w:val="18"/>
          <w:szCs w:val="18"/>
        </w:rPr>
      </w:pPr>
      <w:r>
        <w:rPr>
          <w:sz w:val="18"/>
          <w:szCs w:val="18"/>
        </w:rPr>
        <w:t> </w:t>
      </w:r>
    </w:p>
    <w:p w14:paraId="1AE7E5A6" w14:textId="77777777" w:rsidR="00943108" w:rsidRDefault="00C72673">
      <w:pPr>
        <w:shd w:val="clear" w:color="auto" w:fill="FFFFFF"/>
        <w:spacing w:line="240" w:lineRule="auto"/>
        <w:jc w:val="both"/>
        <w:rPr>
          <w:sz w:val="18"/>
          <w:szCs w:val="18"/>
        </w:rPr>
      </w:pPr>
      <w:r>
        <w:rPr>
          <w:sz w:val="18"/>
          <w:szCs w:val="18"/>
        </w:rPr>
        <w:t xml:space="preserve">ManageEngine es la división de gestión de TI empresarial de Zoho Corporation. Las empresas establecidas y emergentes, incluidas 9 de cada 10 organizaciones Fortune 100, confían en las herramientas de administración de TI en tiempo real de ManageEngine para garantizar un rendimiento óptimo de su infraestructura de TI, incluidas redes, servidores, aplicaciones, escritorios y más. ManageEngine tiene oficinas en todo el mundo, incluidos los Estados Unidos, los Países Bajos, India, Emiratos Árabes Unidos, México, Singapur, Japón, China y Australia, así como más de 200 socios globales para ayudar a las organizaciones a alinear estrechamente sus negocios y TI. Para obtener más información, visite: </w:t>
      </w:r>
      <w:hyperlink r:id="rId10">
        <w:r>
          <w:rPr>
            <w:color w:val="0000FF"/>
            <w:sz w:val="18"/>
            <w:szCs w:val="18"/>
            <w:u w:val="single"/>
          </w:rPr>
          <w:t>manageengine.com</w:t>
        </w:r>
      </w:hyperlink>
      <w:r>
        <w:rPr>
          <w:sz w:val="18"/>
          <w:szCs w:val="18"/>
        </w:rPr>
        <w:t xml:space="preserve">; </w:t>
      </w:r>
    </w:p>
    <w:p w14:paraId="1276A8C9" w14:textId="77777777" w:rsidR="00D72EB6" w:rsidRDefault="00D72EB6">
      <w:pPr>
        <w:shd w:val="clear" w:color="auto" w:fill="FFFFFF"/>
        <w:spacing w:line="240" w:lineRule="auto"/>
        <w:jc w:val="both"/>
        <w:rPr>
          <w:sz w:val="18"/>
          <w:szCs w:val="18"/>
        </w:rPr>
      </w:pPr>
    </w:p>
    <w:p w14:paraId="4D61C3E1" w14:textId="3B3C46D8" w:rsidR="00943108" w:rsidRDefault="00C72673">
      <w:pPr>
        <w:shd w:val="clear" w:color="auto" w:fill="FFFFFF"/>
        <w:spacing w:line="240" w:lineRule="auto"/>
        <w:jc w:val="both"/>
        <w:rPr>
          <w:sz w:val="18"/>
          <w:szCs w:val="18"/>
        </w:rPr>
      </w:pPr>
      <w:r>
        <w:rPr>
          <w:sz w:val="18"/>
          <w:szCs w:val="18"/>
        </w:rPr>
        <w:t xml:space="preserve">siga el blog de la empresa en </w:t>
      </w:r>
      <w:hyperlink r:id="rId11">
        <w:r>
          <w:rPr>
            <w:color w:val="0000FF"/>
            <w:sz w:val="18"/>
            <w:szCs w:val="18"/>
            <w:u w:val="single"/>
          </w:rPr>
          <w:t>blogs.manageengine.com</w:t>
        </w:r>
      </w:hyperlink>
      <w:r>
        <w:rPr>
          <w:sz w:val="18"/>
          <w:szCs w:val="18"/>
        </w:rPr>
        <w:t xml:space="preserve"> LinkedIn en </w:t>
      </w:r>
      <w:hyperlink r:id="rId12">
        <w:r>
          <w:rPr>
            <w:color w:val="0000FF"/>
            <w:sz w:val="18"/>
            <w:szCs w:val="18"/>
            <w:u w:val="single"/>
          </w:rPr>
          <w:t>www.linkedin.com/showcase/manageengine-latam</w:t>
        </w:r>
      </w:hyperlink>
      <w:r>
        <w:rPr>
          <w:sz w:val="18"/>
          <w:szCs w:val="18"/>
        </w:rPr>
        <w:t xml:space="preserve">, Facebook en </w:t>
      </w:r>
      <w:hyperlink r:id="rId13">
        <w:r>
          <w:rPr>
            <w:color w:val="0000FF"/>
            <w:sz w:val="18"/>
            <w:szCs w:val="18"/>
            <w:u w:val="single"/>
          </w:rPr>
          <w:t>www.facebook.com/ManageEngineLA</w:t>
        </w:r>
      </w:hyperlink>
      <w:r>
        <w:rPr>
          <w:sz w:val="18"/>
          <w:szCs w:val="18"/>
        </w:rPr>
        <w:t xml:space="preserve"> y Twitter </w:t>
      </w:r>
      <w:hyperlink r:id="rId14">
        <w:r>
          <w:rPr>
            <w:color w:val="0000FF"/>
            <w:sz w:val="18"/>
            <w:szCs w:val="18"/>
            <w:u w:val="single"/>
          </w:rPr>
          <w:t>@ManageEngineLA</w:t>
        </w:r>
      </w:hyperlink>
      <w:r>
        <w:rPr>
          <w:sz w:val="18"/>
          <w:szCs w:val="18"/>
        </w:rPr>
        <w:t>.</w:t>
      </w:r>
    </w:p>
    <w:p w14:paraId="3AA47FE1" w14:textId="77777777" w:rsidR="00943108" w:rsidRDefault="00C72673">
      <w:pPr>
        <w:shd w:val="clear" w:color="auto" w:fill="FFFFFF"/>
        <w:spacing w:line="240" w:lineRule="auto"/>
        <w:jc w:val="both"/>
        <w:rPr>
          <w:sz w:val="18"/>
          <w:szCs w:val="18"/>
        </w:rPr>
      </w:pPr>
      <w:r>
        <w:rPr>
          <w:sz w:val="18"/>
          <w:szCs w:val="18"/>
        </w:rPr>
        <w:t> </w:t>
      </w:r>
    </w:p>
    <w:p w14:paraId="53CABF37" w14:textId="77777777" w:rsidR="00943108" w:rsidRDefault="00C72673">
      <w:pPr>
        <w:shd w:val="clear" w:color="auto" w:fill="FFFFFF"/>
        <w:spacing w:line="240" w:lineRule="auto"/>
        <w:jc w:val="both"/>
        <w:rPr>
          <w:sz w:val="18"/>
          <w:szCs w:val="18"/>
        </w:rPr>
      </w:pPr>
      <w:r>
        <w:rPr>
          <w:sz w:val="18"/>
          <w:szCs w:val="18"/>
        </w:rPr>
        <w:t> </w:t>
      </w:r>
    </w:p>
    <w:p w14:paraId="24169113" w14:textId="77777777" w:rsidR="00943108" w:rsidRDefault="00C72673">
      <w:pPr>
        <w:shd w:val="clear" w:color="auto" w:fill="FFFFFF"/>
        <w:spacing w:line="240" w:lineRule="auto"/>
        <w:jc w:val="both"/>
        <w:rPr>
          <w:sz w:val="18"/>
          <w:szCs w:val="18"/>
        </w:rPr>
      </w:pPr>
      <w:r>
        <w:rPr>
          <w:sz w:val="18"/>
          <w:szCs w:val="18"/>
        </w:rPr>
        <w:t> </w:t>
      </w:r>
    </w:p>
    <w:p w14:paraId="10C8558E" w14:textId="0E745D73" w:rsidR="00943108" w:rsidRPr="002B3C18" w:rsidRDefault="00C72673">
      <w:pPr>
        <w:shd w:val="clear" w:color="auto" w:fill="FFFFFF"/>
        <w:spacing w:line="240" w:lineRule="auto"/>
        <w:jc w:val="both"/>
        <w:rPr>
          <w:sz w:val="18"/>
          <w:szCs w:val="18"/>
          <w:lang w:val="en-US"/>
        </w:rPr>
      </w:pPr>
      <w:proofErr w:type="spellStart"/>
      <w:r w:rsidRPr="002B3C18">
        <w:rPr>
          <w:b/>
          <w:sz w:val="18"/>
          <w:szCs w:val="18"/>
          <w:lang w:val="en-US"/>
        </w:rPr>
        <w:t>MediaContact</w:t>
      </w:r>
      <w:proofErr w:type="spellEnd"/>
      <w:r w:rsidRPr="002B3C18">
        <w:rPr>
          <w:b/>
          <w:sz w:val="18"/>
          <w:szCs w:val="18"/>
          <w:lang w:val="en-US"/>
        </w:rPr>
        <w:t>:</w:t>
      </w:r>
      <w:r w:rsidRPr="002B3C18">
        <w:rPr>
          <w:sz w:val="18"/>
          <w:szCs w:val="18"/>
          <w:lang w:val="en-US"/>
        </w:rPr>
        <w:br/>
      </w:r>
      <w:proofErr w:type="spellStart"/>
      <w:r w:rsidRPr="002B3C18">
        <w:rPr>
          <w:sz w:val="18"/>
          <w:szCs w:val="18"/>
          <w:lang w:val="en-US"/>
        </w:rPr>
        <w:t>AhanaVissa</w:t>
      </w:r>
      <w:proofErr w:type="spellEnd"/>
      <w:r w:rsidRPr="002B3C18">
        <w:rPr>
          <w:sz w:val="18"/>
          <w:szCs w:val="18"/>
          <w:lang w:val="en-US"/>
        </w:rPr>
        <w:br/>
        <w:t>ManageEngine</w:t>
      </w:r>
      <w:r w:rsidRPr="002B3C18">
        <w:rPr>
          <w:sz w:val="18"/>
          <w:szCs w:val="18"/>
          <w:lang w:val="en-US"/>
        </w:rPr>
        <w:br/>
      </w:r>
      <w:hyperlink r:id="rId15">
        <w:r w:rsidRPr="002B3C18">
          <w:rPr>
            <w:color w:val="0000FF"/>
            <w:sz w:val="18"/>
            <w:szCs w:val="18"/>
            <w:u w:val="single"/>
            <w:lang w:val="en-US"/>
          </w:rPr>
          <w:t>ahana.g@zohocorp.com</w:t>
        </w:r>
      </w:hyperlink>
      <w:r w:rsidRPr="002B3C18">
        <w:rPr>
          <w:sz w:val="18"/>
          <w:szCs w:val="18"/>
          <w:lang w:val="en-US"/>
        </w:rPr>
        <w:br/>
        <w:t>Follow us on Twitter:</w:t>
      </w:r>
      <w:hyperlink r:id="rId16">
        <w:r w:rsidRPr="002B3C18">
          <w:rPr>
            <w:color w:val="0000FF"/>
            <w:sz w:val="18"/>
            <w:szCs w:val="18"/>
            <w:u w:val="single"/>
            <w:lang w:val="en-US"/>
          </w:rPr>
          <w:t xml:space="preserve"> @ManageEngineLA</w:t>
        </w:r>
      </w:hyperlink>
    </w:p>
    <w:p w14:paraId="7086DF48" w14:textId="77777777" w:rsidR="00943108" w:rsidRPr="002B3C18" w:rsidRDefault="00C72673">
      <w:pPr>
        <w:shd w:val="clear" w:color="auto" w:fill="FFFFFF"/>
        <w:spacing w:line="240" w:lineRule="auto"/>
        <w:jc w:val="both"/>
        <w:rPr>
          <w:sz w:val="18"/>
          <w:szCs w:val="18"/>
          <w:lang w:val="en-US"/>
        </w:rPr>
      </w:pPr>
      <w:r w:rsidRPr="002B3C18">
        <w:rPr>
          <w:sz w:val="18"/>
          <w:szCs w:val="18"/>
          <w:lang w:val="en-US"/>
        </w:rPr>
        <w:t> </w:t>
      </w:r>
    </w:p>
    <w:p w14:paraId="0130BDED" w14:textId="77777777" w:rsidR="00943108" w:rsidRPr="002B3C18" w:rsidRDefault="00C72673">
      <w:pPr>
        <w:shd w:val="clear" w:color="auto" w:fill="FFFFFF"/>
        <w:spacing w:line="240" w:lineRule="auto"/>
        <w:jc w:val="both"/>
        <w:rPr>
          <w:sz w:val="18"/>
          <w:szCs w:val="18"/>
          <w:lang w:val="en-US"/>
        </w:rPr>
      </w:pPr>
      <w:r w:rsidRPr="002B3C18">
        <w:rPr>
          <w:sz w:val="18"/>
          <w:szCs w:val="18"/>
          <w:lang w:val="en-US"/>
        </w:rPr>
        <w:t> </w:t>
      </w:r>
    </w:p>
    <w:p w14:paraId="45F2EECF" w14:textId="77777777" w:rsidR="00943108" w:rsidRPr="002B3C18" w:rsidRDefault="00943108">
      <w:pPr>
        <w:shd w:val="clear" w:color="auto" w:fill="FFFFFF"/>
        <w:spacing w:line="240" w:lineRule="auto"/>
        <w:jc w:val="both"/>
        <w:rPr>
          <w:sz w:val="18"/>
          <w:szCs w:val="18"/>
          <w:lang w:val="en-US"/>
        </w:rPr>
      </w:pPr>
    </w:p>
    <w:sectPr w:rsidR="00943108" w:rsidRPr="002B3C18">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50D5" w14:textId="77777777" w:rsidR="00C21FD9" w:rsidRDefault="00C21FD9">
      <w:pPr>
        <w:spacing w:line="240" w:lineRule="auto"/>
      </w:pPr>
      <w:r>
        <w:separator/>
      </w:r>
    </w:p>
  </w:endnote>
  <w:endnote w:type="continuationSeparator" w:id="0">
    <w:p w14:paraId="006D72CF" w14:textId="77777777" w:rsidR="00C21FD9" w:rsidRDefault="00C21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52C17" w14:textId="77777777" w:rsidR="00C21FD9" w:rsidRDefault="00C21FD9">
      <w:pPr>
        <w:spacing w:line="240" w:lineRule="auto"/>
      </w:pPr>
      <w:r>
        <w:separator/>
      </w:r>
    </w:p>
  </w:footnote>
  <w:footnote w:type="continuationSeparator" w:id="0">
    <w:p w14:paraId="31F04D40" w14:textId="77777777" w:rsidR="00C21FD9" w:rsidRDefault="00C21F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B038" w14:textId="77777777" w:rsidR="00943108" w:rsidRDefault="00C72673">
    <w:pPr>
      <w:jc w:val="right"/>
    </w:pPr>
    <w:r>
      <w:rPr>
        <w:noProof/>
      </w:rPr>
      <w:drawing>
        <wp:inline distT="457200" distB="457200" distL="457200" distR="457200" wp14:anchorId="216B076F" wp14:editId="2208F94E">
          <wp:extent cx="1462088" cy="644473"/>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0992" b="10991"/>
                  <a:stretch>
                    <a:fillRect/>
                  </a:stretch>
                </pic:blipFill>
                <pic:spPr>
                  <a:xfrm>
                    <a:off x="0" y="0"/>
                    <a:ext cx="1462088" cy="64447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841"/>
    <w:multiLevelType w:val="hybridMultilevel"/>
    <w:tmpl w:val="74204B12"/>
    <w:lvl w:ilvl="0" w:tplc="080A0001">
      <w:start w:val="1"/>
      <w:numFmt w:val="bullet"/>
      <w:lvlText w:val=""/>
      <w:lvlJc w:val="left"/>
      <w:pPr>
        <w:ind w:left="720" w:hanging="360"/>
      </w:pPr>
      <w:rPr>
        <w:rFonts w:ascii="Symbol" w:hAnsi="Symbol" w:hint="default"/>
        <w:color w:val="222222"/>
        <w:sz w:val="22"/>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BB679E"/>
    <w:multiLevelType w:val="multilevel"/>
    <w:tmpl w:val="D3EC9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4A141E2"/>
    <w:multiLevelType w:val="multilevel"/>
    <w:tmpl w:val="5FB066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A2019ED"/>
    <w:multiLevelType w:val="hybridMultilevel"/>
    <w:tmpl w:val="B8ECAF1C"/>
    <w:lvl w:ilvl="0" w:tplc="5BBEEE6E">
      <w:numFmt w:val="bullet"/>
      <w:lvlText w:val="-"/>
      <w:lvlJc w:val="left"/>
      <w:pPr>
        <w:ind w:left="720" w:hanging="360"/>
      </w:pPr>
      <w:rPr>
        <w:rFonts w:ascii="Arial" w:eastAsia="Times New Roman" w:hAnsi="Arial" w:cs="Arial" w:hint="default"/>
        <w:color w:val="222222"/>
        <w:sz w:val="22"/>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08"/>
    <w:rsid w:val="00280972"/>
    <w:rsid w:val="002B3C18"/>
    <w:rsid w:val="003B6A46"/>
    <w:rsid w:val="00816958"/>
    <w:rsid w:val="0094261E"/>
    <w:rsid w:val="00943108"/>
    <w:rsid w:val="00C21FD9"/>
    <w:rsid w:val="00C72673"/>
    <w:rsid w:val="00D72EB6"/>
    <w:rsid w:val="00FD46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A914"/>
  <w15:docId w15:val="{0F4C2F11-275B-7B4B-B576-3DB91A9A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B0703A"/>
    <w:pPr>
      <w:ind w:left="720"/>
      <w:contextualSpacing/>
    </w:pPr>
  </w:style>
  <w:style w:type="character" w:styleId="Hipervnculo">
    <w:name w:val="Hyperlink"/>
    <w:basedOn w:val="Fuentedeprrafopredeter"/>
    <w:uiPriority w:val="99"/>
    <w:unhideWhenUsed/>
    <w:rsid w:val="00CF207C"/>
    <w:rPr>
      <w:color w:val="0000FF" w:themeColor="hyperlink"/>
      <w:u w:val="single"/>
    </w:rPr>
  </w:style>
  <w:style w:type="character" w:styleId="Mencinsinresolver">
    <w:name w:val="Unresolved Mention"/>
    <w:basedOn w:val="Fuentedeprrafopredeter"/>
    <w:uiPriority w:val="99"/>
    <w:semiHidden/>
    <w:unhideWhenUsed/>
    <w:rsid w:val="00CF207C"/>
    <w:rPr>
      <w:color w:val="605E5C"/>
      <w:shd w:val="clear" w:color="auto" w:fill="E1DFDD"/>
    </w:rPr>
  </w:style>
  <w:style w:type="paragraph" w:customStyle="1" w:styleId="zw-paragraph">
    <w:name w:val="zw-paragraph"/>
    <w:basedOn w:val="Normal"/>
    <w:rsid w:val="00CF20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261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D72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0218">
      <w:bodyDiv w:val="1"/>
      <w:marLeft w:val="0"/>
      <w:marRight w:val="0"/>
      <w:marTop w:val="0"/>
      <w:marBottom w:val="0"/>
      <w:divBdr>
        <w:top w:val="none" w:sz="0" w:space="0" w:color="auto"/>
        <w:left w:val="none" w:sz="0" w:space="0" w:color="auto"/>
        <w:bottom w:val="none" w:sz="0" w:space="0" w:color="auto"/>
        <w:right w:val="none" w:sz="0" w:space="0" w:color="auto"/>
      </w:divBdr>
    </w:div>
    <w:div w:id="720446578">
      <w:bodyDiv w:val="1"/>
      <w:marLeft w:val="0"/>
      <w:marRight w:val="0"/>
      <w:marTop w:val="0"/>
      <w:marBottom w:val="0"/>
      <w:divBdr>
        <w:top w:val="none" w:sz="0" w:space="0" w:color="auto"/>
        <w:left w:val="none" w:sz="0" w:space="0" w:color="auto"/>
        <w:bottom w:val="none" w:sz="0" w:space="0" w:color="auto"/>
        <w:right w:val="none" w:sz="0" w:space="0" w:color="auto"/>
      </w:divBdr>
    </w:div>
    <w:div w:id="1234659155">
      <w:bodyDiv w:val="1"/>
      <w:marLeft w:val="0"/>
      <w:marRight w:val="0"/>
      <w:marTop w:val="0"/>
      <w:marBottom w:val="0"/>
      <w:divBdr>
        <w:top w:val="none" w:sz="0" w:space="0" w:color="auto"/>
        <w:left w:val="none" w:sz="0" w:space="0" w:color="auto"/>
        <w:bottom w:val="none" w:sz="0" w:space="0" w:color="auto"/>
        <w:right w:val="none" w:sz="0" w:space="0" w:color="auto"/>
      </w:divBdr>
    </w:div>
    <w:div w:id="1259868592">
      <w:bodyDiv w:val="1"/>
      <w:marLeft w:val="0"/>
      <w:marRight w:val="0"/>
      <w:marTop w:val="0"/>
      <w:marBottom w:val="0"/>
      <w:divBdr>
        <w:top w:val="none" w:sz="0" w:space="0" w:color="auto"/>
        <w:left w:val="none" w:sz="0" w:space="0" w:color="auto"/>
        <w:bottom w:val="none" w:sz="0" w:space="0" w:color="auto"/>
        <w:right w:val="none" w:sz="0" w:space="0" w:color="auto"/>
      </w:divBdr>
    </w:div>
    <w:div w:id="1319115476">
      <w:bodyDiv w:val="1"/>
      <w:marLeft w:val="0"/>
      <w:marRight w:val="0"/>
      <w:marTop w:val="0"/>
      <w:marBottom w:val="0"/>
      <w:divBdr>
        <w:top w:val="none" w:sz="0" w:space="0" w:color="auto"/>
        <w:left w:val="none" w:sz="0" w:space="0" w:color="auto"/>
        <w:bottom w:val="none" w:sz="0" w:space="0" w:color="auto"/>
        <w:right w:val="none" w:sz="0" w:space="0" w:color="auto"/>
      </w:divBdr>
    </w:div>
    <w:div w:id="1952861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ffer.com/2021-state-of-remote-work" TargetMode="External"/><Relationship Id="rId13" Type="http://schemas.openxmlformats.org/officeDocument/2006/relationships/hyperlink" Target="https://www.facebook.com/ManageEngineL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manageengine-lata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witter.com/ManageEngine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manageengine.com/espanol?pos=MEtab&amp;cat=Company&amp;loc=hdng&amp;prev=AB2" TargetMode="External"/><Relationship Id="rId5" Type="http://schemas.openxmlformats.org/officeDocument/2006/relationships/webSettings" Target="webSettings.xml"/><Relationship Id="rId15" Type="http://schemas.openxmlformats.org/officeDocument/2006/relationships/hyperlink" Target="mailto:ahana.g@zohocorp.com" TargetMode="External"/><Relationship Id="rId10" Type="http://schemas.openxmlformats.org/officeDocument/2006/relationships/hyperlink" Target="https://www.manageengine.com/lat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nageengine.com/the-digital-readiness-survey-2021/index.html" TargetMode="External"/><Relationship Id="rId14" Type="http://schemas.openxmlformats.org/officeDocument/2006/relationships/hyperlink" Target="https://twitter.com/ManageEngine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jgiX58L2+2sH4EOUVUX8BmSTkw==">AMUW2mWGy+SB2S+x8pt2t/3+tzetrtSZWspwDLpIfxfP/gHaS1CJgXSny99+QkPFvCyoLquoe2y2JgnC82B8BVeakmcjpo3Lwah+RYfT+qb2bB8ojeKcj2k=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juanita calderon parra</cp:lastModifiedBy>
  <cp:revision>2</cp:revision>
  <dcterms:created xsi:type="dcterms:W3CDTF">2021-12-22T16:54:00Z</dcterms:created>
  <dcterms:modified xsi:type="dcterms:W3CDTF">2021-12-22T16:54:00Z</dcterms:modified>
</cp:coreProperties>
</file>